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1681"/>
        <w:gridCol w:w="2490"/>
        <w:gridCol w:w="2316"/>
        <w:gridCol w:w="1990"/>
        <w:gridCol w:w="2365"/>
        <w:gridCol w:w="2313"/>
      </w:tblGrid>
      <w:tr w:rsidR="00440A39">
        <w:trPr>
          <w:cnfStyle w:val="100000000000"/>
          <w:trHeight w:val="793"/>
          <w:tblHeader/>
        </w:trPr>
        <w:tc>
          <w:tcPr>
            <w:cnfStyle w:val="001000000000"/>
            <w:tcW w:w="1681" w:type="dxa"/>
          </w:tcPr>
          <w:p w:rsidR="00440A39" w:rsidRPr="00440A39" w:rsidRDefault="00440A39">
            <w:pPr>
              <w:rPr>
                <w:sz w:val="24"/>
              </w:rPr>
            </w:pPr>
            <w:r w:rsidRPr="00440A39">
              <w:rPr>
                <w:sz w:val="24"/>
              </w:rPr>
              <w:t>Step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100000000000"/>
              <w:rPr>
                <w:sz w:val="24"/>
              </w:rPr>
            </w:pPr>
            <w:r w:rsidRPr="00440A39">
              <w:rPr>
                <w:sz w:val="24"/>
              </w:rPr>
              <w:t>Initial Evaluation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100000000000"/>
              <w:rPr>
                <w:sz w:val="24"/>
              </w:rPr>
            </w:pPr>
            <w:r w:rsidRPr="00440A39">
              <w:rPr>
                <w:sz w:val="24"/>
              </w:rPr>
              <w:t>Re-Evaluation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100000000000"/>
              <w:rPr>
                <w:sz w:val="24"/>
              </w:rPr>
            </w:pPr>
            <w:r w:rsidRPr="00440A39">
              <w:rPr>
                <w:sz w:val="24"/>
              </w:rPr>
              <w:t>Annual IEP</w:t>
            </w:r>
          </w:p>
        </w:tc>
        <w:tc>
          <w:tcPr>
            <w:tcW w:w="2365" w:type="dxa"/>
          </w:tcPr>
          <w:p w:rsidR="00440A39" w:rsidRPr="00440A39" w:rsidRDefault="00440A39">
            <w:pPr>
              <w:cnfStyle w:val="100000000000"/>
              <w:rPr>
                <w:sz w:val="24"/>
              </w:rPr>
            </w:pPr>
            <w:r w:rsidRPr="00440A39">
              <w:rPr>
                <w:sz w:val="24"/>
              </w:rPr>
              <w:t>Functional Behavioral Assessment</w:t>
            </w:r>
          </w:p>
        </w:tc>
        <w:tc>
          <w:tcPr>
            <w:tcW w:w="2313" w:type="dxa"/>
          </w:tcPr>
          <w:p w:rsidR="00440A39" w:rsidRPr="00440A39" w:rsidRDefault="00440A39">
            <w:pPr>
              <w:cnfStyle w:val="100000000000"/>
              <w:rPr>
                <w:sz w:val="24"/>
              </w:rPr>
            </w:pPr>
            <w:r w:rsidRPr="00440A39">
              <w:rPr>
                <w:sz w:val="24"/>
              </w:rPr>
              <w:t>Manifestation Determination</w:t>
            </w:r>
          </w:p>
        </w:tc>
      </w:tr>
      <w:tr w:rsidR="00440A39">
        <w:trPr>
          <w:cnfStyle w:val="000000100000"/>
          <w:trHeight w:val="516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Child Study Team Packet</w:t>
            </w:r>
          </w:p>
        </w:tc>
        <w:tc>
          <w:tcPr>
            <w:tcW w:w="2316" w:type="dxa"/>
          </w:tcPr>
          <w:p w:rsidR="00440A39" w:rsidRPr="00440A39" w:rsidRDefault="00440A39" w:rsidP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 xml:space="preserve">SES 14 to notify that </w:t>
            </w:r>
            <w:proofErr w:type="gramStart"/>
            <w:r w:rsidRPr="00440A39">
              <w:rPr>
                <w:rFonts w:asciiTheme="majorHAnsi" w:hAnsiTheme="majorHAnsi"/>
              </w:rPr>
              <w:t xml:space="preserve">an </w:t>
            </w:r>
            <w:r>
              <w:rPr>
                <w:rFonts w:asciiTheme="majorHAnsi" w:hAnsiTheme="majorHAnsi"/>
              </w:rPr>
              <w:t>eligibility</w:t>
            </w:r>
            <w:proofErr w:type="gramEnd"/>
            <w:r w:rsidRPr="00440A39">
              <w:rPr>
                <w:rFonts w:asciiTheme="majorHAnsi" w:hAnsiTheme="majorHAnsi"/>
              </w:rPr>
              <w:t xml:space="preserve"> is </w:t>
            </w:r>
            <w:r>
              <w:rPr>
                <w:rFonts w:asciiTheme="majorHAnsi" w:hAnsiTheme="majorHAnsi"/>
              </w:rPr>
              <w:t>due 4-6 weeks in advance.</w:t>
            </w:r>
          </w:p>
        </w:tc>
        <w:tc>
          <w:tcPr>
            <w:tcW w:w="1990" w:type="dxa"/>
          </w:tcPr>
          <w:p w:rsidR="00440A39" w:rsidRPr="00440A39" w:rsidRDefault="00440A39" w:rsidP="00440A39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least 10 days prior to the annual IEP meeting, contact parents to set up meeting.  </w:t>
            </w:r>
          </w:p>
        </w:tc>
        <w:tc>
          <w:tcPr>
            <w:tcW w:w="2365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Send SES 14 to let parents know that you will be conducting </w:t>
            </w:r>
            <w:proofErr w:type="gramStart"/>
            <w:r>
              <w:rPr>
                <w:rFonts w:asciiTheme="majorHAnsi" w:hAnsiTheme="majorHAnsi"/>
              </w:rPr>
              <w:t>an</w:t>
            </w:r>
            <w:proofErr w:type="gramEnd"/>
            <w:r>
              <w:rPr>
                <w:rFonts w:asciiTheme="majorHAnsi" w:hAnsiTheme="majorHAnsi"/>
              </w:rPr>
              <w:t xml:space="preserve"> Functional Behavioral Assessment (FBA).  If you can meet, this is best practice.</w:t>
            </w:r>
          </w:p>
        </w:tc>
        <w:tc>
          <w:tcPr>
            <w:tcW w:w="2313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a student is approaching 10 suspended days, usually after about 5 days of suspension, an FBA must be completed.  </w:t>
            </w:r>
          </w:p>
        </w:tc>
      </w:tr>
      <w:tr w:rsidR="00440A39">
        <w:trPr>
          <w:cnfStyle w:val="000000010000"/>
          <w:trHeight w:val="1269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SES 14 to notify that an evaluation is being conducted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up a time to meet to complete SES 8 and 8a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SES 12 and 14 </w:t>
            </w:r>
            <w:proofErr w:type="gramStart"/>
            <w:r>
              <w:rPr>
                <w:rFonts w:asciiTheme="majorHAnsi" w:hAnsiTheme="majorHAnsi"/>
              </w:rPr>
              <w:t>need</w:t>
            </w:r>
            <w:proofErr w:type="gramEnd"/>
            <w:r>
              <w:rPr>
                <w:rFonts w:asciiTheme="majorHAnsi" w:hAnsiTheme="majorHAnsi"/>
              </w:rPr>
              <w:t xml:space="preserve"> to be sent for meeting, notice 1.</w:t>
            </w:r>
          </w:p>
        </w:tc>
        <w:tc>
          <w:tcPr>
            <w:tcW w:w="2365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an SES 9 to be signed by parent to conduct the FBA</w:t>
            </w:r>
          </w:p>
        </w:tc>
        <w:tc>
          <w:tcPr>
            <w:tcW w:w="2313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student was suspended one time for 10 days, the FBA will need to be completed.  Every time student is suspended, </w:t>
            </w:r>
            <w:proofErr w:type="gramStart"/>
            <w:r>
              <w:rPr>
                <w:rFonts w:asciiTheme="majorHAnsi" w:hAnsiTheme="majorHAnsi"/>
              </w:rPr>
              <w:t>SES 18 should be completed by administrator for file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</w:tr>
      <w:tr w:rsidR="00440A39">
        <w:trPr>
          <w:cnfStyle w:val="000000100000"/>
          <w:trHeight w:val="1289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Set up time to meet with parents to complete SES 8 and 8a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Upon completion of 8 and 8a, complete another SES 14 and have parent sign SES 9 if additional data is required.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About 5 days prior, send a second notice with SES 12 and 14. </w:t>
            </w:r>
          </w:p>
        </w:tc>
        <w:tc>
          <w:tcPr>
            <w:tcW w:w="2365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required FBA paperwork.</w:t>
            </w:r>
          </w:p>
        </w:tc>
        <w:tc>
          <w:tcPr>
            <w:tcW w:w="2313" w:type="dxa"/>
          </w:tcPr>
          <w:p w:rsidR="00440A39" w:rsidRPr="00440A39" w:rsidRDefault="001026EC" w:rsidP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Send an SES 12 and 14 for Manifestation Meeting at least 10 days in advance.  </w:t>
            </w:r>
          </w:p>
        </w:tc>
      </w:tr>
      <w:tr w:rsidR="00440A39">
        <w:trPr>
          <w:cnfStyle w:val="000000010000"/>
          <w:trHeight w:val="1527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Upon completion of 8 and 8a, parents need to sign the SES 9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Complete relevant evaluations based upon criteria for eligibility (Psych, Nurse, you, etc.)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IEP meeting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2365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SES 12 and 14 that FBA is complete, and to conduct a meeting and discuss results.  This will be an IEP meeting, potentially a revision. This should be sent at least 10 days in advance.</w:t>
            </w:r>
          </w:p>
        </w:tc>
        <w:tc>
          <w:tcPr>
            <w:tcW w:w="2313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second notice or call at least 5 days in advance.</w:t>
            </w:r>
          </w:p>
        </w:tc>
      </w:tr>
      <w:tr w:rsidR="00440A39">
        <w:trPr>
          <w:cnfStyle w:val="000000100000"/>
          <w:trHeight w:val="430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Complete relevant evaluations based upon criteria for eligibility (Psych, Nurse, you, etc.)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 out SES 12 and 14 to let them know evaluations are complete and you wish to have an eligibility meeting.</w:t>
            </w:r>
            <w:r>
              <w:rPr>
                <w:rFonts w:asciiTheme="majorHAnsi" w:hAnsiTheme="majorHAnsi"/>
              </w:rPr>
              <w:t xml:space="preserve"> (Meeting needs to be within 45 school days of SES 9 being completed.)</w:t>
            </w:r>
          </w:p>
        </w:tc>
        <w:tc>
          <w:tcPr>
            <w:tcW w:w="1990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Send, or hand, SES 14 to let them know you are implementing the IEP</w:t>
            </w:r>
          </w:p>
        </w:tc>
        <w:tc>
          <w:tcPr>
            <w:tcW w:w="2365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IEP meeting, completing all relevant parts of the IEP related to the FBA if it is a revision.  IEP should include a Behavior Support Plan. (BSP)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2313" w:type="dxa"/>
          </w:tcPr>
          <w:p w:rsidR="00440A39" w:rsidRPr="00440A39" w:rsidRDefault="001026E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FBA is used for the manif</w:t>
            </w:r>
            <w:r w:rsidR="00231D4A">
              <w:rPr>
                <w:rFonts w:asciiTheme="majorHAnsi" w:hAnsiTheme="majorHAnsi"/>
              </w:rPr>
              <w:t>estation determination meeting (Old SES 18 a-f)</w:t>
            </w:r>
            <w:r>
              <w:rPr>
                <w:rFonts w:asciiTheme="majorHAnsi" w:hAnsiTheme="majorHAnsi"/>
              </w:rPr>
              <w:t xml:space="preserve"> Go through the information from the FBA and the BSP.</w:t>
            </w:r>
          </w:p>
        </w:tc>
      </w:tr>
      <w:tr w:rsidR="00440A39">
        <w:trPr>
          <w:cnfStyle w:val="000000010000"/>
          <w:trHeight w:val="773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 out SES 12 and 14 to let them know evaluations are complete and you wish to have an eligibility meeting.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Hold eligibility meeting with all required members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SES 14 to alert parents that IEP with Behavior Support Plan is being implemented.</w:t>
            </w:r>
          </w:p>
        </w:tc>
        <w:tc>
          <w:tcPr>
            <w:tcW w:w="2313" w:type="dxa"/>
          </w:tcPr>
          <w:p w:rsidR="00440A39" w:rsidRPr="00440A39" w:rsidRDefault="001026E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a team, complete the SES 18F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</w:tr>
      <w:tr w:rsidR="00440A39">
        <w:trPr>
          <w:cnfStyle w:val="000000100000"/>
          <w:trHeight w:val="1269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Hold eligibility meeting with all required members</w:t>
            </w:r>
            <w:r>
              <w:rPr>
                <w:rFonts w:asciiTheme="majorHAnsi" w:hAnsiTheme="majorHAnsi"/>
              </w:rPr>
              <w:t>.  At conclusion of meeting, parent needs to sign initial consent for special education form SES 10C.</w:t>
            </w:r>
            <w:r w:rsidR="00231D4A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 xml:space="preserve">Send, discuss, or hand SES 14 and SES 12 for IEP meeting.  If at the same meeting, make sure you checked appropriate boxes </w:t>
            </w:r>
            <w:proofErr w:type="gramStart"/>
            <w:r w:rsidRPr="00440A39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 xml:space="preserve"> step</w:t>
            </w:r>
            <w:proofErr w:type="gramEnd"/>
            <w:r>
              <w:rPr>
                <w:rFonts w:asciiTheme="majorHAnsi" w:hAnsiTheme="majorHAnsi"/>
              </w:rPr>
              <w:t xml:space="preserve"> 5.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:rsidR="00440A39" w:rsidRPr="00440A39" w:rsidRDefault="00231D4A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determination is made, team determines next step.  </w:t>
            </w:r>
          </w:p>
        </w:tc>
      </w:tr>
      <w:tr w:rsidR="00440A39">
        <w:trPr>
          <w:cnfStyle w:val="000000010000"/>
          <w:trHeight w:val="3073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Send, discuss, or hand SES 14 and SES 12 for IEP meeting.  If at the same meeting, make sure you checked appropriate boxes in step 6.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Hold IEP meeting</w:t>
            </w:r>
            <w:r w:rsidR="00231D4A">
              <w:rPr>
                <w:rFonts w:asciiTheme="majorHAnsi" w:hAnsiTheme="majorHAnsi"/>
              </w:rPr>
              <w:t>*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:rsidR="00231D4A" w:rsidRDefault="00231D4A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out or hand SES 14 to notify of actions made, and future actions.</w:t>
            </w:r>
          </w:p>
          <w:p w:rsidR="00231D4A" w:rsidRDefault="00231D4A">
            <w:pPr>
              <w:cnfStyle w:val="000000010000"/>
              <w:rPr>
                <w:rFonts w:asciiTheme="majorHAnsi" w:hAnsiTheme="majorHAnsi"/>
              </w:rPr>
            </w:pPr>
          </w:p>
          <w:p w:rsidR="00440A39" w:rsidRPr="00440A39" w:rsidRDefault="00231D4A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is a manifestation, student may return to normal placement, or changed placement.  If it is not a manifestation, student may have more repercussions.  </w:t>
            </w:r>
          </w:p>
        </w:tc>
      </w:tr>
      <w:tr w:rsidR="00440A39">
        <w:trPr>
          <w:cnfStyle w:val="000000100000"/>
          <w:trHeight w:val="496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Hold IEP meeting</w:t>
            </w:r>
            <w:r w:rsidR="00231D4A">
              <w:rPr>
                <w:rFonts w:asciiTheme="majorHAnsi" w:hAnsiTheme="majorHAnsi"/>
              </w:rPr>
              <w:t>*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Send, or hand, SES 14 to let them know you are implementing the IEP</w:t>
            </w:r>
          </w:p>
        </w:tc>
        <w:tc>
          <w:tcPr>
            <w:tcW w:w="1990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:rsidR="00440A39" w:rsidRPr="00440A39" w:rsidRDefault="00440A39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440A39">
        <w:trPr>
          <w:cnfStyle w:val="000000010000"/>
          <w:trHeight w:val="1547"/>
        </w:trPr>
        <w:tc>
          <w:tcPr>
            <w:cnfStyle w:val="001000000000"/>
            <w:tcW w:w="1681" w:type="dxa"/>
          </w:tcPr>
          <w:p w:rsidR="00440A39" w:rsidRDefault="00440A39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  <w:r w:rsidRPr="00440A39">
              <w:rPr>
                <w:rFonts w:asciiTheme="majorHAnsi" w:hAnsiTheme="majorHAnsi"/>
              </w:rPr>
              <w:t>Send, or hand, SES 14 to let them know you are implementing the IEP</w:t>
            </w:r>
          </w:p>
        </w:tc>
        <w:tc>
          <w:tcPr>
            <w:tcW w:w="2316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:rsidR="00440A39" w:rsidRPr="00440A39" w:rsidRDefault="00440A39">
            <w:pPr>
              <w:cnfStyle w:val="000000010000"/>
              <w:rPr>
                <w:rFonts w:asciiTheme="majorHAnsi" w:hAnsiTheme="majorHAnsi"/>
              </w:rPr>
            </w:pPr>
          </w:p>
        </w:tc>
      </w:tr>
    </w:tbl>
    <w:p w:rsidR="00231D4A" w:rsidRDefault="00231D4A"/>
    <w:p w:rsidR="00231D4A" w:rsidRDefault="00231D4A"/>
    <w:p w:rsidR="00231D4A" w:rsidRDefault="00231D4A">
      <w:r>
        <w:t>SES 8 and 8a:  Scope of Evaluation</w:t>
      </w:r>
    </w:p>
    <w:p w:rsidR="00231D4A" w:rsidRDefault="00231D4A">
      <w:r>
        <w:t>SES 9:  Parent Consent to Test</w:t>
      </w:r>
    </w:p>
    <w:p w:rsidR="00231D4A" w:rsidRDefault="00231D4A">
      <w:r>
        <w:t>SES 12:  Notice to Meet</w:t>
      </w:r>
    </w:p>
    <w:p w:rsidR="00231D4A" w:rsidRDefault="00231D4A">
      <w:r>
        <w:t>SES 14:  Parent Prior Written Notice</w:t>
      </w:r>
    </w:p>
    <w:p w:rsidR="00231D4A" w:rsidRDefault="00231D4A">
      <w:r>
        <w:t>SES 18:  Student Suspension Form</w:t>
      </w:r>
    </w:p>
    <w:p w:rsidR="00231D4A" w:rsidRDefault="00231D4A">
      <w:r>
        <w:t>SES 18F:  Manifestation Determination Summary Form</w:t>
      </w:r>
    </w:p>
    <w:p w:rsidR="00231D4A" w:rsidRDefault="00231D4A"/>
    <w:p w:rsidR="00231D4A" w:rsidRDefault="00231D4A">
      <w:r>
        <w:t xml:space="preserve">FBA forms have changed.  </w:t>
      </w:r>
    </w:p>
    <w:p w:rsidR="00231D4A" w:rsidRDefault="00231D4A"/>
    <w:p w:rsidR="00440A39" w:rsidRDefault="00231D4A">
      <w:r>
        <w:t>* Hand out Parent Rights.</w:t>
      </w:r>
    </w:p>
    <w:sectPr w:rsidR="00440A39" w:rsidSect="00440A39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A" w:rsidRPr="00231D4A" w:rsidRDefault="00231D4A">
    <w:pPr>
      <w:pStyle w:val="Header"/>
      <w:rPr>
        <w:rFonts w:asciiTheme="majorHAnsi" w:hAnsiTheme="majorHAnsi"/>
        <w:b/>
        <w:sz w:val="32"/>
      </w:rPr>
    </w:pPr>
    <w:r w:rsidRPr="00231D4A">
      <w:rPr>
        <w:rFonts w:asciiTheme="majorHAnsi" w:hAnsiTheme="majorHAnsi"/>
        <w:b/>
        <w:sz w:val="32"/>
      </w:rPr>
      <w:t>Basic Steps in Special Education Processes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0A39"/>
    <w:rsid w:val="001026EC"/>
    <w:rsid w:val="00231D4A"/>
    <w:rsid w:val="00440A39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440A39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31D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D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1D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547</Words>
  <Characters>3121</Characters>
  <Application>Microsoft Macintosh Word</Application>
  <DocSecurity>0</DocSecurity>
  <Lines>26</Lines>
  <Paragraphs>6</Paragraphs>
  <ScaleCrop>false</ScaleCrop>
  <Company>Rainshadow CCHS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1</cp:revision>
  <dcterms:created xsi:type="dcterms:W3CDTF">2012-03-23T22:02:00Z</dcterms:created>
  <dcterms:modified xsi:type="dcterms:W3CDTF">2012-03-23T22:36:00Z</dcterms:modified>
</cp:coreProperties>
</file>